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71E40" w14:textId="55A5E6EB" w:rsidR="00B17DCD" w:rsidRPr="002A0E15" w:rsidRDefault="002A0E15" w:rsidP="3E0CE759">
      <w:pPr>
        <w:spacing w:after="0" w:line="240" w:lineRule="auto"/>
        <w:rPr>
          <w:sz w:val="20"/>
          <w:szCs w:val="20"/>
        </w:rPr>
      </w:pPr>
      <w:r w:rsidRPr="002A0E15">
        <w:rPr>
          <w:noProof/>
          <w:sz w:val="20"/>
          <w:szCs w:val="20"/>
        </w:rPr>
        <w:drawing>
          <wp:inline distT="0" distB="0" distL="0" distR="0" wp14:anchorId="40AE16C6" wp14:editId="6F5798F2">
            <wp:extent cx="5943600" cy="965835"/>
            <wp:effectExtent l="0" t="0" r="0" b="0"/>
            <wp:docPr id="10" name="Picture 10"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p>
    <w:p w14:paraId="542A3F89" w14:textId="12A3AEA2" w:rsidR="002A0E15" w:rsidRPr="002A0E15" w:rsidRDefault="002A0E15" w:rsidP="002A0E15">
      <w:pPr>
        <w:pStyle w:val="Heading1"/>
        <w:rPr>
          <w:sz w:val="36"/>
          <w:szCs w:val="36"/>
        </w:rPr>
      </w:pPr>
      <w:r w:rsidRPr="002A0E15">
        <w:rPr>
          <w:sz w:val="36"/>
          <w:szCs w:val="36"/>
        </w:rPr>
        <w:t>Protect Vulnerable Road Users Through a Safe System Approach</w:t>
      </w:r>
    </w:p>
    <w:p w14:paraId="2C7EAC45" w14:textId="036E3367" w:rsidR="002A0E15" w:rsidRDefault="00F123A3" w:rsidP="092918ED">
      <w:pPr>
        <w:spacing w:after="0" w:line="240" w:lineRule="auto"/>
        <w:rPr>
          <w:b/>
          <w:bCs/>
          <w:sz w:val="28"/>
          <w:szCs w:val="28"/>
        </w:rPr>
      </w:pPr>
      <w:r>
        <w:rPr>
          <w:rFonts w:cstheme="minorHAnsi"/>
          <w:noProof/>
          <w:sz w:val="24"/>
          <w:szCs w:val="24"/>
        </w:rPr>
        <w:pict w14:anchorId="35B6AFAA">
          <v:rect id="_x0000_i1025" alt="" style="width:468pt;height:.05pt;mso-width-percent:0;mso-height-percent:0;mso-width-percent:0;mso-height-percent:0" o:hralign="center" o:hrstd="t" o:hr="t" fillcolor="#a0a0a0" stroked="f"/>
        </w:pict>
      </w:r>
    </w:p>
    <w:p w14:paraId="2A2BFB31" w14:textId="06F3C609" w:rsidR="00D810FB" w:rsidRPr="002A0E15" w:rsidRDefault="007D31CA" w:rsidP="00FE43B3">
      <w:pPr>
        <w:spacing w:after="0" w:line="240" w:lineRule="auto"/>
        <w:rPr>
          <w:rFonts w:cstheme="minorHAnsi"/>
          <w:sz w:val="28"/>
          <w:szCs w:val="28"/>
        </w:rPr>
      </w:pPr>
      <w:r w:rsidRPr="002A0E15">
        <w:rPr>
          <w:rFonts w:cstheme="minorHAnsi"/>
          <w:sz w:val="28"/>
          <w:szCs w:val="28"/>
        </w:rPr>
        <w:t>Bicyclist Safety on US Roadways</w:t>
      </w:r>
      <w:r w:rsidR="002446CD" w:rsidRPr="002A0E15">
        <w:rPr>
          <w:rFonts w:cstheme="minorHAnsi"/>
          <w:sz w:val="28"/>
          <w:szCs w:val="28"/>
        </w:rPr>
        <w:t>:</w:t>
      </w:r>
      <w:r w:rsidRPr="002A0E15">
        <w:rPr>
          <w:rFonts w:cstheme="minorHAnsi"/>
          <w:sz w:val="28"/>
          <w:szCs w:val="28"/>
        </w:rPr>
        <w:t xml:space="preserve"> Crash Risks and Countermeasures</w:t>
      </w:r>
      <w:r w:rsidR="00C40437" w:rsidRPr="002A0E15">
        <w:rPr>
          <w:rFonts w:cstheme="minorHAnsi"/>
          <w:sz w:val="28"/>
          <w:szCs w:val="28"/>
        </w:rPr>
        <w:t xml:space="preserve"> </w:t>
      </w:r>
    </w:p>
    <w:p w14:paraId="059C109D" w14:textId="242C671E" w:rsidR="007D31CA" w:rsidRPr="002A0E15" w:rsidRDefault="00C40437" w:rsidP="00FE43B3">
      <w:pPr>
        <w:spacing w:after="0" w:line="240" w:lineRule="auto"/>
        <w:rPr>
          <w:rFonts w:cstheme="minorHAnsi"/>
          <w:sz w:val="24"/>
          <w:szCs w:val="24"/>
        </w:rPr>
      </w:pPr>
      <w:r w:rsidRPr="002A0E15">
        <w:rPr>
          <w:rFonts w:cstheme="minorHAnsi"/>
          <w:sz w:val="24"/>
          <w:szCs w:val="24"/>
        </w:rPr>
        <w:t>Safety Research Report</w:t>
      </w:r>
      <w:r w:rsidR="00F514BA" w:rsidRPr="002A0E15">
        <w:rPr>
          <w:rFonts w:cstheme="minorHAnsi"/>
          <w:sz w:val="24"/>
          <w:szCs w:val="24"/>
        </w:rPr>
        <w:br/>
        <w:t>2019</w:t>
      </w:r>
    </w:p>
    <w:p w14:paraId="59CE4FAB" w14:textId="77777777" w:rsidR="00D810FB" w:rsidRPr="00F514BA" w:rsidRDefault="00D810FB" w:rsidP="00FE43B3">
      <w:pPr>
        <w:spacing w:after="0" w:line="240" w:lineRule="auto"/>
        <w:rPr>
          <w:rFonts w:cstheme="minorHAnsi"/>
          <w:b/>
          <w:bCs/>
          <w:sz w:val="24"/>
          <w:szCs w:val="24"/>
        </w:rPr>
      </w:pPr>
    </w:p>
    <w:p w14:paraId="4BEDE6E6" w14:textId="2D753080" w:rsidR="003254FB" w:rsidRPr="00F514BA" w:rsidRDefault="00F21AB2" w:rsidP="00856C26">
      <w:pPr>
        <w:autoSpaceDE w:val="0"/>
        <w:autoSpaceDN w:val="0"/>
        <w:adjustRightInd w:val="0"/>
        <w:spacing w:after="0" w:line="240" w:lineRule="auto"/>
        <w:rPr>
          <w:rFonts w:cstheme="minorHAnsi"/>
          <w:sz w:val="24"/>
          <w:szCs w:val="24"/>
          <w:shd w:val="clear" w:color="auto" w:fill="FFFFFF"/>
        </w:rPr>
      </w:pPr>
      <w:bookmarkStart w:id="0" w:name="_Hlk63329168"/>
      <w:r w:rsidRPr="00F514BA">
        <w:rPr>
          <w:rFonts w:cstheme="minorHAnsi"/>
          <w:sz w:val="24"/>
          <w:szCs w:val="24"/>
        </w:rPr>
        <w:t xml:space="preserve">This is an excerpt from the full investigative report. </w:t>
      </w:r>
      <w:r w:rsidRPr="00F514BA">
        <w:rPr>
          <w:rFonts w:cstheme="minorHAnsi"/>
          <w:b/>
          <w:bCs/>
          <w:sz w:val="24"/>
          <w:szCs w:val="24"/>
        </w:rPr>
        <w:t>This information does not include all the safety issues, findings</w:t>
      </w:r>
      <w:r w:rsidR="002936A4" w:rsidRPr="00F514BA">
        <w:rPr>
          <w:rFonts w:cstheme="minorHAnsi"/>
          <w:b/>
          <w:bCs/>
          <w:sz w:val="24"/>
          <w:szCs w:val="24"/>
        </w:rPr>
        <w:t>,</w:t>
      </w:r>
      <w:r w:rsidRPr="00F514BA">
        <w:rPr>
          <w:rFonts w:cstheme="minorHAnsi"/>
          <w:b/>
          <w:bCs/>
          <w:sz w:val="24"/>
          <w:szCs w:val="24"/>
        </w:rPr>
        <w:t xml:space="preserve"> and recommendations issued in the report, but instead focuses on </w:t>
      </w:r>
      <w:r w:rsidR="002936A4" w:rsidRPr="00F514BA">
        <w:rPr>
          <w:rFonts w:cstheme="minorHAnsi"/>
          <w:b/>
          <w:bCs/>
          <w:sz w:val="24"/>
          <w:szCs w:val="24"/>
        </w:rPr>
        <w:t>those that are</w:t>
      </w:r>
      <w:r w:rsidRPr="00F514BA">
        <w:rPr>
          <w:rFonts w:cstheme="minorHAnsi"/>
          <w:b/>
          <w:bCs/>
          <w:sz w:val="24"/>
          <w:szCs w:val="24"/>
        </w:rPr>
        <w:t xml:space="preserve"> directly related to the safety item</w:t>
      </w:r>
      <w:r w:rsidR="002446CD" w:rsidRPr="00F514BA">
        <w:rPr>
          <w:rFonts w:cstheme="minorHAnsi"/>
          <w:bCs/>
          <w:sz w:val="24"/>
          <w:szCs w:val="24"/>
        </w:rPr>
        <w:t>.</w:t>
      </w:r>
      <w:r w:rsidRPr="00F514BA">
        <w:rPr>
          <w:rFonts w:cstheme="minorHAnsi"/>
          <w:sz w:val="24"/>
          <w:szCs w:val="24"/>
        </w:rPr>
        <w:t xml:space="preserve"> </w:t>
      </w:r>
      <w:r w:rsidR="00023DD1" w:rsidRPr="00F514BA">
        <w:rPr>
          <w:rFonts w:cstheme="minorHAnsi"/>
          <w:sz w:val="24"/>
          <w:szCs w:val="24"/>
        </w:rPr>
        <w:t>Read the complete</w:t>
      </w:r>
      <w:r w:rsidRPr="00F514BA">
        <w:rPr>
          <w:rFonts w:cstheme="minorHAnsi"/>
          <w:sz w:val="24"/>
          <w:szCs w:val="24"/>
        </w:rPr>
        <w:t xml:space="preserve"> report: </w:t>
      </w:r>
      <w:bookmarkEnd w:id="0"/>
      <w:r w:rsidRPr="00F514BA">
        <w:rPr>
          <w:rFonts w:cstheme="minorHAnsi"/>
          <w:sz w:val="24"/>
          <w:szCs w:val="24"/>
        </w:rPr>
        <w:fldChar w:fldCharType="begin"/>
      </w:r>
      <w:r w:rsidRPr="00F514BA">
        <w:rPr>
          <w:rFonts w:cstheme="minorHAnsi"/>
          <w:sz w:val="24"/>
          <w:szCs w:val="24"/>
        </w:rPr>
        <w:instrText xml:space="preserve"> HYPERLINK "https://www.ntsb.gov/safety/safety-studies/Documents/SS1901.pdf" </w:instrText>
      </w:r>
      <w:r w:rsidRPr="00F514BA">
        <w:rPr>
          <w:rFonts w:cstheme="minorHAnsi"/>
          <w:sz w:val="24"/>
          <w:szCs w:val="24"/>
        </w:rPr>
        <w:fldChar w:fldCharType="separate"/>
      </w:r>
      <w:r w:rsidR="007D31CA" w:rsidRPr="00F514BA">
        <w:rPr>
          <w:rFonts w:cstheme="minorHAnsi"/>
          <w:color w:val="0000FF"/>
          <w:sz w:val="24"/>
          <w:szCs w:val="24"/>
          <w:u w:val="single"/>
          <w:shd w:val="clear" w:color="auto" w:fill="FFFFFF"/>
        </w:rPr>
        <w:t>https://www.ntsb.gov/safety/safety-studies/Documents/SS1901.pdf</w:t>
      </w:r>
      <w:r w:rsidRPr="00F514BA">
        <w:rPr>
          <w:rFonts w:cstheme="minorHAnsi"/>
          <w:color w:val="0000FF"/>
          <w:sz w:val="24"/>
          <w:szCs w:val="24"/>
          <w:u w:val="single"/>
          <w:shd w:val="clear" w:color="auto" w:fill="FFFFFF"/>
        </w:rPr>
        <w:fldChar w:fldCharType="end"/>
      </w:r>
    </w:p>
    <w:p w14:paraId="6F37B004" w14:textId="7CCD9574" w:rsidR="007D31CA" w:rsidRPr="00F514BA" w:rsidRDefault="007D31CA" w:rsidP="00FE43B3">
      <w:pPr>
        <w:autoSpaceDE w:val="0"/>
        <w:autoSpaceDN w:val="0"/>
        <w:adjustRightInd w:val="0"/>
        <w:spacing w:after="0" w:line="240" w:lineRule="auto"/>
        <w:rPr>
          <w:rFonts w:cstheme="minorHAnsi"/>
          <w:sz w:val="24"/>
          <w:szCs w:val="24"/>
          <w:shd w:val="clear" w:color="auto" w:fill="FFFFFF"/>
        </w:rPr>
      </w:pPr>
    </w:p>
    <w:p w14:paraId="01ACA4B7" w14:textId="698C3726" w:rsidR="00FE43B3" w:rsidRPr="00F514BA" w:rsidRDefault="00670024" w:rsidP="5BBED7E0">
      <w:pPr>
        <w:spacing w:after="0" w:line="240" w:lineRule="auto"/>
        <w:rPr>
          <w:b/>
          <w:bCs/>
          <w:sz w:val="24"/>
          <w:szCs w:val="24"/>
        </w:rPr>
      </w:pPr>
      <w:r w:rsidRPr="5BBED7E0">
        <w:rPr>
          <w:b/>
          <w:bCs/>
          <w:sz w:val="24"/>
          <w:szCs w:val="24"/>
        </w:rPr>
        <w:t>Safety Topic</w:t>
      </w:r>
    </w:p>
    <w:p w14:paraId="20B45CE8" w14:textId="77777777" w:rsidR="00670024" w:rsidRDefault="00670024" w:rsidP="00856C26">
      <w:pPr>
        <w:spacing w:after="0" w:line="240" w:lineRule="auto"/>
        <w:rPr>
          <w:sz w:val="24"/>
          <w:szCs w:val="24"/>
        </w:rPr>
      </w:pPr>
    </w:p>
    <w:p w14:paraId="287CB372" w14:textId="432C9747" w:rsidR="00D810FB" w:rsidRPr="00F514BA" w:rsidRDefault="00FE43B3" w:rsidP="00856C26">
      <w:pPr>
        <w:spacing w:after="0" w:line="240" w:lineRule="auto"/>
        <w:rPr>
          <w:rFonts w:cstheme="minorHAnsi"/>
          <w:sz w:val="24"/>
          <w:szCs w:val="24"/>
        </w:rPr>
      </w:pPr>
      <w:r w:rsidRPr="5BBED7E0">
        <w:rPr>
          <w:sz w:val="24"/>
          <w:szCs w:val="24"/>
        </w:rPr>
        <w:t xml:space="preserve">This safety research report updates our understanding of bicyclist safety in the United States by examining the prevalence </w:t>
      </w:r>
      <w:r w:rsidR="002936A4" w:rsidRPr="5BBED7E0">
        <w:rPr>
          <w:sz w:val="24"/>
          <w:szCs w:val="24"/>
        </w:rPr>
        <w:t xml:space="preserve">of </w:t>
      </w:r>
      <w:r w:rsidRPr="5BBED7E0">
        <w:rPr>
          <w:sz w:val="24"/>
          <w:szCs w:val="24"/>
        </w:rPr>
        <w:t xml:space="preserve">and risk factors </w:t>
      </w:r>
      <w:r w:rsidR="002936A4" w:rsidRPr="5BBED7E0">
        <w:rPr>
          <w:sz w:val="24"/>
          <w:szCs w:val="24"/>
        </w:rPr>
        <w:t xml:space="preserve">for </w:t>
      </w:r>
      <w:r w:rsidRPr="5BBED7E0">
        <w:rPr>
          <w:sz w:val="24"/>
          <w:szCs w:val="24"/>
        </w:rPr>
        <w:t>bicycle crashes involving motor vehicles on US roadways and assessing the most applicable countermeasures. To conduct this research, the NTSB used the following combination of quantitative and qualitative methods: reviewing countermeasures and research literature; analyzing crash and injury data; and interviewing national, state, and local traffic safety stakeholders.</w:t>
      </w:r>
    </w:p>
    <w:p w14:paraId="4017DF43" w14:textId="6C5515C4" w:rsidR="5BBED7E0" w:rsidRDefault="5BBED7E0" w:rsidP="5BBED7E0">
      <w:pPr>
        <w:spacing w:after="0" w:line="240" w:lineRule="auto"/>
        <w:rPr>
          <w:b/>
          <w:bCs/>
          <w:sz w:val="24"/>
          <w:szCs w:val="24"/>
        </w:rPr>
      </w:pPr>
    </w:p>
    <w:p w14:paraId="016951D7" w14:textId="53578E42" w:rsidR="00670024" w:rsidRDefault="00670024" w:rsidP="5BBED7E0">
      <w:pPr>
        <w:spacing w:after="0" w:line="240" w:lineRule="auto"/>
        <w:rPr>
          <w:b/>
          <w:bCs/>
          <w:sz w:val="24"/>
          <w:szCs w:val="24"/>
        </w:rPr>
      </w:pPr>
      <w:r w:rsidRPr="5BBED7E0">
        <w:rPr>
          <w:b/>
          <w:bCs/>
          <w:sz w:val="24"/>
          <w:szCs w:val="24"/>
        </w:rPr>
        <w:t>Findings</w:t>
      </w:r>
    </w:p>
    <w:p w14:paraId="60F95F5A" w14:textId="77777777" w:rsidR="00670024" w:rsidRPr="00F514BA" w:rsidRDefault="00670024" w:rsidP="5BBED7E0">
      <w:pPr>
        <w:spacing w:after="0" w:line="240" w:lineRule="auto"/>
        <w:rPr>
          <w:b/>
          <w:bCs/>
          <w:sz w:val="24"/>
          <w:szCs w:val="24"/>
        </w:rPr>
      </w:pPr>
    </w:p>
    <w:p w14:paraId="6A243055"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Bicycle crashes involving motor vehicles at midblock locations are more likely to result in fatal and serious injuries for the bicyclists.</w:t>
      </w:r>
    </w:p>
    <w:p w14:paraId="3D57A6CA"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Separated bike lanes could prevent bicycle crashes involving motor vehicles at midblock locations and, thereby, also reduce the number of fatalities and serious injuries associated with such crashes.</w:t>
      </w:r>
    </w:p>
    <w:p w14:paraId="036C4CA1"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Combining proven countermeasures to improve bicyclist safety at intersection and midblock locations can create a network of safer roadways for bicyclists. </w:t>
      </w:r>
    </w:p>
    <w:p w14:paraId="00B9EE44"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Consolidating guidance concerning separated bike lanes, intersection treatments, and the transition between them may increase the implementation of separated bike lanes by transportation planning and engineering practitioners. </w:t>
      </w:r>
    </w:p>
    <w:p w14:paraId="5DB65ED1"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Reducing traffic speeds can improve bicycle safety by reducing the likelihood of fatal or serious injury in the event of a crash. </w:t>
      </w:r>
    </w:p>
    <w:p w14:paraId="1C89CFAA"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lastRenderedPageBreak/>
        <w:t xml:space="preserve">The road diet is a proven safety countermeasure that both reduces traffic speeds and provides space on the roadway for the implementation of bicycle facilities, such as separated bike lanes. </w:t>
      </w:r>
    </w:p>
    <w:p w14:paraId="1FF31850" w14:textId="61D87464"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Including separated bike lanes and intersection safety treatments in the </w:t>
      </w:r>
      <w:r w:rsidR="00F54671" w:rsidRPr="00F514BA">
        <w:rPr>
          <w:rFonts w:cstheme="minorHAnsi"/>
          <w:sz w:val="24"/>
          <w:szCs w:val="24"/>
        </w:rPr>
        <w:t>FHWA’s</w:t>
      </w:r>
      <w:r w:rsidRPr="00F514BA">
        <w:rPr>
          <w:rFonts w:cstheme="minorHAnsi"/>
          <w:sz w:val="24"/>
          <w:szCs w:val="24"/>
        </w:rPr>
        <w:t xml:space="preserve"> Proven Safety Countermeasures initiative and </w:t>
      </w:r>
      <w:proofErr w:type="gramStart"/>
      <w:r w:rsidRPr="00F514BA">
        <w:rPr>
          <w:rFonts w:cstheme="minorHAnsi"/>
          <w:sz w:val="24"/>
          <w:szCs w:val="24"/>
        </w:rPr>
        <w:t>Every Day</w:t>
      </w:r>
      <w:proofErr w:type="gramEnd"/>
      <w:r w:rsidRPr="00F514BA">
        <w:rPr>
          <w:rFonts w:cstheme="minorHAnsi"/>
          <w:sz w:val="24"/>
          <w:szCs w:val="24"/>
        </w:rPr>
        <w:t xml:space="preserve"> Counts program could help accelerate their adoption and improve bicyclist safety. </w:t>
      </w:r>
    </w:p>
    <w:p w14:paraId="71E0AAB4"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Improving bicycle conspicuity may reduce the likelihood of collisions between bicycles and motor vehicles. </w:t>
      </w:r>
    </w:p>
    <w:p w14:paraId="2C571F42"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The existing requirements for bicycle conspicuity, established in 1980, are outdated and do not adequately reflect modern advances in bicycle conspicuity materials and technologies. </w:t>
      </w:r>
    </w:p>
    <w:p w14:paraId="31E8726D"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Revising Federal Motor Vehicle Safety Standard 108 to allow adaptive headlight systems and to require evaluating headlights in real-world settings rather than in a laboratory would likely result in headlights that improve drivers’ ability to detect other road users, including bicyclists. </w:t>
      </w:r>
    </w:p>
    <w:p w14:paraId="51DDCC9D" w14:textId="3D7A9CA9" w:rsidR="00E85A78"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Collision avoidance system technologies could be modified to detect bicycles, which would likely reduce the incidence of collisions between motor vehicles and bicycles and mitigate injuries caused by collisions when they occur.</w:t>
      </w:r>
      <w:r w:rsidR="00E85A78" w:rsidRPr="00F514BA">
        <w:rPr>
          <w:rFonts w:cstheme="minorHAnsi"/>
          <w:sz w:val="24"/>
          <w:szCs w:val="24"/>
        </w:rPr>
        <w:t xml:space="preserve"> </w:t>
      </w:r>
    </w:p>
    <w:p w14:paraId="627962B6"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The National Highway Traffic Safety Administration’s delays in updating the New Car Assessment Program have likely slowed the development of important safety systems for vulnerable road users and their implementation into the vehicle fleet. </w:t>
      </w:r>
    </w:p>
    <w:p w14:paraId="05634577"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The US Department of Transportation’s slow progress in developing standards for connected vehicle technology has delayed the implementation of potentially lifesaving technology.</w:t>
      </w:r>
    </w:p>
    <w:p w14:paraId="50E969A7"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The larger blind spots of large vehicles make it more difficult for their drivers to detect vulnerable road users. </w:t>
      </w:r>
    </w:p>
    <w:p w14:paraId="513F092B"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There continues to be a need for performance standards to ensure blind spot detection systems </w:t>
      </w:r>
      <w:proofErr w:type="gramStart"/>
      <w:r w:rsidRPr="00F514BA">
        <w:rPr>
          <w:rFonts w:cstheme="minorHAnsi"/>
          <w:sz w:val="24"/>
          <w:szCs w:val="24"/>
        </w:rPr>
        <w:t>are capable of detecting</w:t>
      </w:r>
      <w:proofErr w:type="gramEnd"/>
      <w:r w:rsidRPr="00F514BA">
        <w:rPr>
          <w:rFonts w:cstheme="minorHAnsi"/>
          <w:sz w:val="24"/>
          <w:szCs w:val="24"/>
        </w:rPr>
        <w:t xml:space="preserve"> vulnerable road users, including bicyclists. </w:t>
      </w:r>
    </w:p>
    <w:p w14:paraId="20F1E073"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Head injury is the leading cause of bicycle-related deaths, and bicyclists involved in crashes with motor vehicles sustain a higher proportion of head injuries. </w:t>
      </w:r>
    </w:p>
    <w:p w14:paraId="6906B20B"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Bicycle helmets provide effective protection and mitigate head injuries in the event of a crash. </w:t>
      </w:r>
    </w:p>
    <w:p w14:paraId="54999826"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The underutilization of bicycle helmets has contributed to the incidence of deaths and serious injuries among crash-involved bicyclists. </w:t>
      </w:r>
    </w:p>
    <w:p w14:paraId="2325C28E" w14:textId="77777777" w:rsidR="00302869" w:rsidRPr="00F514BA"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Requiring helmet use is the most effective means for increasing helmet use and reducing bicyclist head injuries. </w:t>
      </w:r>
    </w:p>
    <w:p w14:paraId="068A80C5" w14:textId="77777777" w:rsidR="002A0E15" w:rsidRDefault="00302869" w:rsidP="00670024">
      <w:pPr>
        <w:pStyle w:val="ListParagraph"/>
        <w:keepLines/>
        <w:numPr>
          <w:ilvl w:val="0"/>
          <w:numId w:val="25"/>
        </w:numPr>
        <w:tabs>
          <w:tab w:val="left" w:pos="450"/>
        </w:tabs>
        <w:snapToGrid w:val="0"/>
        <w:spacing w:after="80" w:line="240" w:lineRule="auto"/>
        <w:contextualSpacing w:val="0"/>
        <w:rPr>
          <w:rFonts w:cstheme="minorHAnsi"/>
          <w:sz w:val="24"/>
          <w:szCs w:val="24"/>
        </w:rPr>
      </w:pPr>
      <w:r w:rsidRPr="00F514BA">
        <w:rPr>
          <w:rFonts w:cstheme="minorHAnsi"/>
          <w:sz w:val="24"/>
          <w:szCs w:val="24"/>
        </w:rPr>
        <w:t xml:space="preserve">A comprehensive strategy that includes both helmet legislation and complementary </w:t>
      </w:r>
      <w:proofErr w:type="spellStart"/>
      <w:r w:rsidRPr="00F514BA">
        <w:rPr>
          <w:rFonts w:cstheme="minorHAnsi"/>
          <w:sz w:val="24"/>
          <w:szCs w:val="24"/>
        </w:rPr>
        <w:t>nonlegislative</w:t>
      </w:r>
      <w:proofErr w:type="spellEnd"/>
      <w:r w:rsidRPr="00F514BA">
        <w:rPr>
          <w:rFonts w:cstheme="minorHAnsi"/>
          <w:sz w:val="24"/>
          <w:szCs w:val="24"/>
        </w:rPr>
        <w:t xml:space="preserve"> interventions is most likely to increase overall helmet use among bicyclists of all ages</w:t>
      </w:r>
    </w:p>
    <w:p w14:paraId="44A35A2D" w14:textId="725DB471" w:rsidR="002A0E15" w:rsidRPr="002A0E15" w:rsidRDefault="002A0E15" w:rsidP="002A0E15">
      <w:pPr>
        <w:tabs>
          <w:tab w:val="left" w:pos="450"/>
        </w:tabs>
        <w:spacing w:after="0" w:line="240" w:lineRule="auto"/>
        <w:ind w:left="360"/>
        <w:rPr>
          <w:rFonts w:cstheme="minorHAnsi"/>
          <w:sz w:val="24"/>
          <w:szCs w:val="24"/>
        </w:rPr>
        <w:sectPr w:rsidR="002A0E15" w:rsidRPr="002A0E15">
          <w:headerReference w:type="default" r:id="rId12"/>
          <w:footerReference w:type="even" r:id="rId13"/>
          <w:footerReference w:type="default" r:id="rId14"/>
          <w:pgSz w:w="12240" w:h="15840"/>
          <w:pgMar w:top="1440" w:right="1440" w:bottom="1440" w:left="1440" w:header="720" w:footer="720" w:gutter="0"/>
          <w:cols w:space="720"/>
          <w:docGrid w:linePitch="360"/>
        </w:sectPr>
      </w:pPr>
    </w:p>
    <w:p w14:paraId="23D8C9CD" w14:textId="036E96FF" w:rsidR="00302869" w:rsidRPr="002A0E15" w:rsidRDefault="00302869" w:rsidP="002A0E15">
      <w:pPr>
        <w:tabs>
          <w:tab w:val="left" w:pos="450"/>
        </w:tabs>
        <w:spacing w:after="0" w:line="240" w:lineRule="auto"/>
        <w:rPr>
          <w:rFonts w:cstheme="minorHAnsi"/>
          <w:sz w:val="24"/>
          <w:szCs w:val="24"/>
        </w:rPr>
      </w:pPr>
    </w:p>
    <w:p w14:paraId="5C205F9D" w14:textId="139FB2DE" w:rsidR="00FE43B3" w:rsidRDefault="00F123A3" w:rsidP="00FE43B3">
      <w:pPr>
        <w:spacing w:after="0" w:line="240" w:lineRule="auto"/>
        <w:rPr>
          <w:rFonts w:cstheme="minorHAnsi"/>
          <w:b/>
          <w:bCs/>
          <w:sz w:val="24"/>
          <w:szCs w:val="24"/>
        </w:rPr>
      </w:pPr>
      <w:r>
        <w:rPr>
          <w:rFonts w:cstheme="minorHAnsi"/>
          <w:noProof/>
          <w:sz w:val="24"/>
          <w:szCs w:val="24"/>
        </w:rPr>
        <w:pict w14:anchorId="42D6D961">
          <v:rect id="_x0000_i1026" alt="" style="width:468pt;height:.05pt;mso-width-percent:0;mso-height-percent:0;mso-width-percent:0;mso-height-percent:0" o:hralign="center" o:hrstd="t" o:hr="t" fillcolor="#a0a0a0" stroked="f"/>
        </w:pict>
      </w:r>
    </w:p>
    <w:p w14:paraId="5A581BD7" w14:textId="1CD575E7" w:rsidR="002A0E15" w:rsidRPr="002A0E15" w:rsidRDefault="002A0E15" w:rsidP="002A0E15">
      <w:pPr>
        <w:spacing w:after="0" w:line="240" w:lineRule="auto"/>
        <w:rPr>
          <w:rFonts w:cstheme="minorHAnsi"/>
          <w:sz w:val="28"/>
          <w:szCs w:val="28"/>
        </w:rPr>
      </w:pPr>
      <w:r>
        <w:rPr>
          <w:rFonts w:cstheme="minorHAnsi"/>
          <w:sz w:val="28"/>
          <w:szCs w:val="28"/>
        </w:rPr>
        <w:t>Pedestrian Safety</w:t>
      </w:r>
      <w:r w:rsidRPr="002A0E15">
        <w:rPr>
          <w:rFonts w:cstheme="minorHAnsi"/>
          <w:sz w:val="28"/>
          <w:szCs w:val="28"/>
        </w:rPr>
        <w:t xml:space="preserve"> </w:t>
      </w:r>
    </w:p>
    <w:p w14:paraId="583114A2" w14:textId="3506AB1A" w:rsidR="00C40437" w:rsidRPr="002A0E15" w:rsidRDefault="00C40437" w:rsidP="00FE43B3">
      <w:pPr>
        <w:spacing w:after="0" w:line="240" w:lineRule="auto"/>
        <w:rPr>
          <w:rFonts w:cstheme="minorHAnsi"/>
          <w:sz w:val="24"/>
          <w:szCs w:val="24"/>
        </w:rPr>
      </w:pPr>
      <w:r w:rsidRPr="002A0E15">
        <w:rPr>
          <w:rFonts w:cstheme="minorHAnsi"/>
          <w:sz w:val="24"/>
          <w:szCs w:val="24"/>
        </w:rPr>
        <w:t>Special Investigation Report</w:t>
      </w:r>
      <w:r w:rsidR="004F632D" w:rsidRPr="002A0E15">
        <w:rPr>
          <w:rFonts w:cstheme="minorHAnsi"/>
          <w:sz w:val="24"/>
          <w:szCs w:val="24"/>
        </w:rPr>
        <w:br/>
        <w:t>2018</w:t>
      </w:r>
    </w:p>
    <w:p w14:paraId="137B4DC7" w14:textId="77777777" w:rsidR="00D810FB" w:rsidRPr="00F514BA" w:rsidRDefault="00D810FB" w:rsidP="00FE43B3">
      <w:pPr>
        <w:spacing w:after="0" w:line="240" w:lineRule="auto"/>
        <w:rPr>
          <w:rFonts w:cstheme="minorHAnsi"/>
          <w:b/>
          <w:bCs/>
          <w:sz w:val="24"/>
          <w:szCs w:val="24"/>
        </w:rPr>
      </w:pPr>
    </w:p>
    <w:p w14:paraId="230CEE59" w14:textId="7C5B833F" w:rsidR="007D31CA" w:rsidRPr="00F514BA" w:rsidRDefault="00F21AB2" w:rsidP="00856C26">
      <w:pPr>
        <w:autoSpaceDE w:val="0"/>
        <w:autoSpaceDN w:val="0"/>
        <w:adjustRightInd w:val="0"/>
        <w:spacing w:after="0" w:line="240" w:lineRule="auto"/>
        <w:rPr>
          <w:rFonts w:cstheme="minorHAnsi"/>
          <w:sz w:val="24"/>
          <w:szCs w:val="24"/>
          <w:shd w:val="clear" w:color="auto" w:fill="FFFFFF"/>
        </w:rPr>
      </w:pPr>
      <w:r w:rsidRPr="00F514BA">
        <w:rPr>
          <w:rFonts w:cstheme="minorHAnsi"/>
          <w:sz w:val="24"/>
          <w:szCs w:val="24"/>
        </w:rPr>
        <w:t xml:space="preserve">This is an excerpt from the full investigative report. </w:t>
      </w:r>
      <w:r w:rsidRPr="00F514BA">
        <w:rPr>
          <w:rFonts w:cstheme="minorHAnsi"/>
          <w:b/>
          <w:bCs/>
          <w:sz w:val="24"/>
          <w:szCs w:val="24"/>
        </w:rPr>
        <w:t>This information does not include all the safety issues, findings</w:t>
      </w:r>
      <w:r w:rsidR="000259B8" w:rsidRPr="00F514BA">
        <w:rPr>
          <w:rFonts w:cstheme="minorHAnsi"/>
          <w:b/>
          <w:bCs/>
          <w:sz w:val="24"/>
          <w:szCs w:val="24"/>
        </w:rPr>
        <w:t>,</w:t>
      </w:r>
      <w:r w:rsidRPr="00F514BA">
        <w:rPr>
          <w:rFonts w:cstheme="minorHAnsi"/>
          <w:b/>
          <w:bCs/>
          <w:sz w:val="24"/>
          <w:szCs w:val="24"/>
        </w:rPr>
        <w:t xml:space="preserve"> and recommendations issued in the report, but instead focuses </w:t>
      </w:r>
      <w:r w:rsidR="000259B8" w:rsidRPr="00F514BA">
        <w:rPr>
          <w:rFonts w:cstheme="minorHAnsi"/>
          <w:b/>
          <w:bCs/>
          <w:sz w:val="24"/>
          <w:szCs w:val="24"/>
        </w:rPr>
        <w:t>on those that are</w:t>
      </w:r>
      <w:r w:rsidRPr="00F514BA">
        <w:rPr>
          <w:rFonts w:cstheme="minorHAnsi"/>
          <w:b/>
          <w:bCs/>
          <w:sz w:val="24"/>
          <w:szCs w:val="24"/>
        </w:rPr>
        <w:t xml:space="preserve"> directly related to the safety item</w:t>
      </w:r>
      <w:r w:rsidR="002446CD" w:rsidRPr="00F514BA">
        <w:rPr>
          <w:rFonts w:cstheme="minorHAnsi"/>
          <w:bCs/>
          <w:sz w:val="24"/>
          <w:szCs w:val="24"/>
        </w:rPr>
        <w:t>.</w:t>
      </w:r>
      <w:r w:rsidRPr="00F514BA">
        <w:rPr>
          <w:rFonts w:cstheme="minorHAnsi"/>
          <w:sz w:val="24"/>
          <w:szCs w:val="24"/>
        </w:rPr>
        <w:t xml:space="preserve"> </w:t>
      </w:r>
      <w:r w:rsidR="00023DD1" w:rsidRPr="00F514BA">
        <w:rPr>
          <w:rFonts w:cstheme="minorHAnsi"/>
          <w:sz w:val="24"/>
          <w:szCs w:val="24"/>
        </w:rPr>
        <w:t>Read the complete</w:t>
      </w:r>
      <w:r w:rsidRPr="00F514BA">
        <w:rPr>
          <w:rFonts w:cstheme="minorHAnsi"/>
          <w:sz w:val="24"/>
          <w:szCs w:val="24"/>
        </w:rPr>
        <w:t xml:space="preserve"> report </w:t>
      </w:r>
      <w:hyperlink r:id="rId15" w:history="1">
        <w:r w:rsidR="007D31CA" w:rsidRPr="00F514BA">
          <w:rPr>
            <w:rFonts w:cstheme="minorHAnsi"/>
            <w:color w:val="0000FF"/>
            <w:sz w:val="24"/>
            <w:szCs w:val="24"/>
            <w:u w:val="single"/>
            <w:shd w:val="clear" w:color="auto" w:fill="FFFFFF"/>
          </w:rPr>
          <w:t>https://www.ntsb.gov/safety/safety-studies/Documents/SIR1803.pdf</w:t>
        </w:r>
      </w:hyperlink>
    </w:p>
    <w:p w14:paraId="72587E40" w14:textId="4418DD1C" w:rsidR="007D31CA" w:rsidRPr="00F514BA" w:rsidRDefault="007D31CA" w:rsidP="00FE43B3">
      <w:pPr>
        <w:autoSpaceDE w:val="0"/>
        <w:autoSpaceDN w:val="0"/>
        <w:adjustRightInd w:val="0"/>
        <w:spacing w:after="0" w:line="240" w:lineRule="auto"/>
        <w:rPr>
          <w:rFonts w:cstheme="minorHAnsi"/>
          <w:sz w:val="24"/>
          <w:szCs w:val="24"/>
          <w:shd w:val="clear" w:color="auto" w:fill="FFFFFF"/>
        </w:rPr>
      </w:pPr>
    </w:p>
    <w:p w14:paraId="2A8AF01E" w14:textId="484FC880" w:rsidR="007D31CA" w:rsidRDefault="00670024" w:rsidP="00FE43B3">
      <w:pPr>
        <w:spacing w:after="0" w:line="240" w:lineRule="auto"/>
        <w:rPr>
          <w:rFonts w:cstheme="minorHAnsi"/>
          <w:b/>
          <w:bCs/>
          <w:sz w:val="24"/>
          <w:szCs w:val="24"/>
        </w:rPr>
      </w:pPr>
      <w:r w:rsidRPr="00F514BA">
        <w:rPr>
          <w:rFonts w:cstheme="minorHAnsi"/>
          <w:b/>
          <w:bCs/>
          <w:sz w:val="24"/>
          <w:szCs w:val="24"/>
        </w:rPr>
        <w:t>Safety Topic</w:t>
      </w:r>
    </w:p>
    <w:p w14:paraId="28408078" w14:textId="77777777" w:rsidR="00670024" w:rsidRPr="00F514BA" w:rsidRDefault="00670024" w:rsidP="00FE43B3">
      <w:pPr>
        <w:spacing w:after="0" w:line="240" w:lineRule="auto"/>
        <w:rPr>
          <w:rFonts w:cstheme="minorHAnsi"/>
          <w:b/>
          <w:bCs/>
          <w:sz w:val="24"/>
          <w:szCs w:val="24"/>
        </w:rPr>
      </w:pPr>
    </w:p>
    <w:p w14:paraId="226D4EAC" w14:textId="37EFE7B5" w:rsidR="00C40437" w:rsidRPr="00F514BA" w:rsidRDefault="00500EC0" w:rsidP="00856C26">
      <w:pPr>
        <w:spacing w:after="0" w:line="240" w:lineRule="auto"/>
        <w:rPr>
          <w:rFonts w:cstheme="minorHAnsi"/>
          <w:b/>
          <w:bCs/>
          <w:sz w:val="24"/>
          <w:szCs w:val="24"/>
        </w:rPr>
      </w:pPr>
      <w:r w:rsidRPr="00F514BA">
        <w:rPr>
          <w:rFonts w:cstheme="minorHAnsi"/>
          <w:sz w:val="24"/>
          <w:szCs w:val="24"/>
        </w:rPr>
        <w:t xml:space="preserve">In this special investigation report, the NTSB examines pedestrian safety in the United States and recommends actions to help prevent pedestrian injuries and fatalities. The investigation, which began in 2016 with a public forum on pedestrian safety, was supported by an inquiry into the causes of 15 crashes in which vehicles fatally injured pedestrians on public highways—representing only a fraction of the nearly 6,000 pedestrians killed on US roads in 2016. The report reviews the past 10 years of data on highway deaths; describes previous NTSB investigations related to pedestrian safety, including the 15 fatal pedestrian crashes as well as studies of the effects of speed and alcohol on highway crashes; summarizes the issues raised during the public forum; and makes 11 recommendations for improving pedestrian safety. The report considers vehicle-based countermeasures, such as improved headlights, vehicle designs that reduce injuries to pedestrians, and </w:t>
      </w:r>
      <w:r w:rsidR="00560C37" w:rsidRPr="00F514BA">
        <w:rPr>
          <w:rFonts w:cstheme="minorHAnsi"/>
          <w:sz w:val="24"/>
          <w:szCs w:val="24"/>
        </w:rPr>
        <w:t>collision-</w:t>
      </w:r>
      <w:r w:rsidRPr="00F514BA">
        <w:rPr>
          <w:rFonts w:cstheme="minorHAnsi"/>
          <w:sz w:val="24"/>
          <w:szCs w:val="24"/>
        </w:rPr>
        <w:t>avoidance systems. It also reviews infrastructure designs that make streets safer for pedestrians. The report emphasizes that better data are needed—especially on pedestrian activity (exposure data) and on the types and outcomes of crashes involving pedestrians—to improve federal, state, and local decision-making related to pedestrian safety.</w:t>
      </w:r>
    </w:p>
    <w:p w14:paraId="0BA8A0B9" w14:textId="08E74BE0" w:rsidR="007D31CA" w:rsidRPr="00F514BA" w:rsidRDefault="00A26A7F" w:rsidP="5BBED7E0">
      <w:pPr>
        <w:spacing w:after="0" w:line="240" w:lineRule="auto"/>
        <w:rPr>
          <w:b/>
          <w:bCs/>
          <w:sz w:val="24"/>
          <w:szCs w:val="24"/>
        </w:rPr>
      </w:pPr>
      <w:r w:rsidRPr="5BBED7E0">
        <w:rPr>
          <w:b/>
          <w:bCs/>
          <w:sz w:val="24"/>
          <w:szCs w:val="24"/>
        </w:rPr>
        <w:t xml:space="preserve"> </w:t>
      </w:r>
    </w:p>
    <w:p w14:paraId="1B721DE0" w14:textId="1E2FD4A6" w:rsidR="007D31CA" w:rsidRDefault="00670024" w:rsidP="5BBED7E0">
      <w:pPr>
        <w:spacing w:after="0" w:line="240" w:lineRule="auto"/>
        <w:rPr>
          <w:b/>
          <w:bCs/>
          <w:sz w:val="24"/>
          <w:szCs w:val="24"/>
        </w:rPr>
      </w:pPr>
      <w:r w:rsidRPr="5BBED7E0">
        <w:rPr>
          <w:b/>
          <w:bCs/>
          <w:sz w:val="24"/>
          <w:szCs w:val="24"/>
        </w:rPr>
        <w:t>Findings</w:t>
      </w:r>
    </w:p>
    <w:p w14:paraId="15CB090B" w14:textId="77777777" w:rsidR="00670024" w:rsidRPr="00F514BA" w:rsidRDefault="00670024" w:rsidP="5BBED7E0">
      <w:pPr>
        <w:spacing w:after="0" w:line="240" w:lineRule="auto"/>
        <w:rPr>
          <w:b/>
          <w:bCs/>
          <w:sz w:val="24"/>
          <w:szCs w:val="24"/>
        </w:rPr>
      </w:pPr>
    </w:p>
    <w:p w14:paraId="49CDE6F8" w14:textId="77777777" w:rsidR="00C40437" w:rsidRPr="00F514BA" w:rsidRDefault="00C40437" w:rsidP="00670024">
      <w:pPr>
        <w:pStyle w:val="ListParagraph"/>
        <w:keepLines/>
        <w:numPr>
          <w:ilvl w:val="0"/>
          <w:numId w:val="28"/>
        </w:numPr>
        <w:snapToGrid w:val="0"/>
        <w:spacing w:after="120" w:line="240" w:lineRule="auto"/>
        <w:contextualSpacing w:val="0"/>
        <w:rPr>
          <w:rFonts w:cstheme="minorHAnsi"/>
          <w:sz w:val="24"/>
          <w:szCs w:val="24"/>
        </w:rPr>
      </w:pPr>
      <w:r w:rsidRPr="00F514BA">
        <w:rPr>
          <w:rFonts w:cstheme="minorHAnsi"/>
          <w:sz w:val="24"/>
          <w:szCs w:val="24"/>
        </w:rPr>
        <w:t>Vehicle headlight systems require an evaluation that is more advanced than bench testing of bulb output.</w:t>
      </w:r>
    </w:p>
    <w:p w14:paraId="76626538" w14:textId="77777777" w:rsidR="00C40437" w:rsidRPr="00F514BA" w:rsidRDefault="00C40437" w:rsidP="00670024">
      <w:pPr>
        <w:pStyle w:val="ListParagraph"/>
        <w:keepLines/>
        <w:numPr>
          <w:ilvl w:val="0"/>
          <w:numId w:val="28"/>
        </w:numPr>
        <w:snapToGrid w:val="0"/>
        <w:spacing w:after="120" w:line="240" w:lineRule="auto"/>
        <w:contextualSpacing w:val="0"/>
        <w:rPr>
          <w:rFonts w:cstheme="minorHAnsi"/>
          <w:sz w:val="24"/>
          <w:szCs w:val="24"/>
        </w:rPr>
      </w:pPr>
      <w:r w:rsidRPr="00F514BA">
        <w:rPr>
          <w:rFonts w:cstheme="minorHAnsi"/>
          <w:sz w:val="24"/>
          <w:szCs w:val="24"/>
        </w:rPr>
        <w:t xml:space="preserve">Motor vehicle safety standards should not limit advanced vehicle lighting systems that have been shown to have safety benefits. </w:t>
      </w:r>
    </w:p>
    <w:p w14:paraId="3272C91D" w14:textId="77777777" w:rsidR="00C40437" w:rsidRPr="00F514BA" w:rsidRDefault="00C40437" w:rsidP="00670024">
      <w:pPr>
        <w:pStyle w:val="ListParagraph"/>
        <w:keepLines/>
        <w:numPr>
          <w:ilvl w:val="0"/>
          <w:numId w:val="28"/>
        </w:numPr>
        <w:snapToGrid w:val="0"/>
        <w:spacing w:after="120" w:line="240" w:lineRule="auto"/>
        <w:contextualSpacing w:val="0"/>
        <w:rPr>
          <w:rFonts w:cstheme="minorHAnsi"/>
          <w:sz w:val="24"/>
          <w:szCs w:val="24"/>
        </w:rPr>
      </w:pPr>
      <w:r w:rsidRPr="00F514BA">
        <w:rPr>
          <w:rFonts w:cstheme="minorHAnsi"/>
          <w:sz w:val="24"/>
          <w:szCs w:val="24"/>
        </w:rPr>
        <w:t xml:space="preserve">Incorporating pedestrian injury mitigation into vehicle hood and bumper designs would improve pedestrian safety. </w:t>
      </w:r>
    </w:p>
    <w:p w14:paraId="6F56126C" w14:textId="77777777" w:rsidR="00C40437" w:rsidRPr="00F514BA" w:rsidRDefault="00C40437" w:rsidP="00670024">
      <w:pPr>
        <w:pStyle w:val="ListParagraph"/>
        <w:keepLines/>
        <w:numPr>
          <w:ilvl w:val="0"/>
          <w:numId w:val="28"/>
        </w:numPr>
        <w:snapToGrid w:val="0"/>
        <w:spacing w:after="120" w:line="240" w:lineRule="auto"/>
        <w:contextualSpacing w:val="0"/>
        <w:rPr>
          <w:rFonts w:cstheme="minorHAnsi"/>
          <w:sz w:val="24"/>
          <w:szCs w:val="24"/>
        </w:rPr>
      </w:pPr>
      <w:r w:rsidRPr="00F514BA">
        <w:rPr>
          <w:rFonts w:cstheme="minorHAnsi"/>
          <w:sz w:val="24"/>
          <w:szCs w:val="24"/>
        </w:rPr>
        <w:t xml:space="preserve">For different automated pedestrian safety systems to be compared, there needs to be a standard set of test conditions to rate their performance. </w:t>
      </w:r>
    </w:p>
    <w:p w14:paraId="363F9824" w14:textId="10587C71" w:rsidR="00C40437" w:rsidRPr="00F514BA" w:rsidRDefault="00C40437" w:rsidP="00670024">
      <w:pPr>
        <w:pStyle w:val="ListParagraph"/>
        <w:keepLines/>
        <w:numPr>
          <w:ilvl w:val="0"/>
          <w:numId w:val="28"/>
        </w:numPr>
        <w:snapToGrid w:val="0"/>
        <w:spacing w:after="120" w:line="240" w:lineRule="auto"/>
        <w:contextualSpacing w:val="0"/>
        <w:rPr>
          <w:rFonts w:cstheme="minorHAnsi"/>
          <w:sz w:val="24"/>
          <w:szCs w:val="24"/>
        </w:rPr>
      </w:pPr>
      <w:r w:rsidRPr="00F514BA">
        <w:rPr>
          <w:rFonts w:cstheme="minorHAnsi"/>
          <w:sz w:val="24"/>
          <w:szCs w:val="24"/>
        </w:rPr>
        <w:t xml:space="preserve">The public would benefit from knowing that the model vehicle they are considering for purchase has pedestrian-safe design characteristics, and their choices could in turn affect the implementation of pedestrian safety systems in new car designs. </w:t>
      </w:r>
    </w:p>
    <w:p w14:paraId="62D00232" w14:textId="77777777" w:rsidR="00500EC0" w:rsidRPr="00F514BA" w:rsidRDefault="00500EC0" w:rsidP="00670024">
      <w:pPr>
        <w:pStyle w:val="ListParagraph"/>
        <w:keepLines/>
        <w:numPr>
          <w:ilvl w:val="0"/>
          <w:numId w:val="28"/>
        </w:numPr>
        <w:snapToGrid w:val="0"/>
        <w:spacing w:after="120" w:line="240" w:lineRule="auto"/>
        <w:contextualSpacing w:val="0"/>
        <w:rPr>
          <w:rFonts w:cstheme="minorHAnsi"/>
          <w:sz w:val="24"/>
          <w:szCs w:val="24"/>
        </w:rPr>
      </w:pPr>
      <w:r w:rsidRPr="00F514BA">
        <w:rPr>
          <w:rFonts w:cstheme="minorHAnsi"/>
          <w:sz w:val="24"/>
          <w:szCs w:val="24"/>
        </w:rPr>
        <w:lastRenderedPageBreak/>
        <w:t xml:space="preserve">Effective street designs for pedestrian safety are highly context-dependent and should be managed by local interests; however, states and cities would benefit from resources, tools, and funding support to develop and implement effective plans. </w:t>
      </w:r>
    </w:p>
    <w:p w14:paraId="353CE470" w14:textId="77777777" w:rsidR="00500EC0" w:rsidRPr="00F514BA" w:rsidRDefault="00500EC0" w:rsidP="00670024">
      <w:pPr>
        <w:pStyle w:val="ListParagraph"/>
        <w:keepLines/>
        <w:numPr>
          <w:ilvl w:val="0"/>
          <w:numId w:val="28"/>
        </w:numPr>
        <w:snapToGrid w:val="0"/>
        <w:spacing w:after="120" w:line="240" w:lineRule="auto"/>
        <w:contextualSpacing w:val="0"/>
        <w:rPr>
          <w:rFonts w:cstheme="minorHAnsi"/>
          <w:sz w:val="24"/>
          <w:szCs w:val="24"/>
        </w:rPr>
      </w:pPr>
      <w:r w:rsidRPr="00F514BA">
        <w:rPr>
          <w:rFonts w:cstheme="minorHAnsi"/>
          <w:sz w:val="24"/>
          <w:szCs w:val="24"/>
        </w:rPr>
        <w:t xml:space="preserve">The design guidance needed to develop effective pedestrian safety action plans is readily available to local transportation planners. </w:t>
      </w:r>
    </w:p>
    <w:p w14:paraId="2DAAB712" w14:textId="7C146D15" w:rsidR="00500EC0" w:rsidRPr="00F514BA" w:rsidRDefault="00500EC0" w:rsidP="00670024">
      <w:pPr>
        <w:pStyle w:val="ListParagraph"/>
        <w:keepLines/>
        <w:numPr>
          <w:ilvl w:val="0"/>
          <w:numId w:val="28"/>
        </w:numPr>
        <w:snapToGrid w:val="0"/>
        <w:spacing w:after="120" w:line="240" w:lineRule="auto"/>
        <w:contextualSpacing w:val="0"/>
        <w:rPr>
          <w:rFonts w:cstheme="minorHAnsi"/>
          <w:sz w:val="24"/>
          <w:szCs w:val="24"/>
        </w:rPr>
      </w:pPr>
      <w:r w:rsidRPr="00F514BA">
        <w:rPr>
          <w:rFonts w:cstheme="minorHAnsi"/>
          <w:sz w:val="24"/>
          <w:szCs w:val="24"/>
        </w:rPr>
        <w:t>Addressing the pedestrian safety design changes needed for many of our urban environments will take substantially more resources.</w:t>
      </w:r>
    </w:p>
    <w:p w14:paraId="36A9BB03" w14:textId="4B23FCBF" w:rsidR="00500EC0" w:rsidRPr="00F514BA" w:rsidRDefault="00500EC0" w:rsidP="00670024">
      <w:pPr>
        <w:pStyle w:val="ListParagraph"/>
        <w:keepLines/>
        <w:numPr>
          <w:ilvl w:val="0"/>
          <w:numId w:val="28"/>
        </w:numPr>
        <w:snapToGrid w:val="0"/>
        <w:spacing w:after="120" w:line="240" w:lineRule="auto"/>
        <w:contextualSpacing w:val="0"/>
        <w:rPr>
          <w:rFonts w:cstheme="minorHAnsi"/>
          <w:sz w:val="24"/>
          <w:szCs w:val="24"/>
        </w:rPr>
      </w:pPr>
      <w:r w:rsidRPr="00F514BA">
        <w:rPr>
          <w:rFonts w:cstheme="minorHAnsi"/>
          <w:sz w:val="24"/>
          <w:szCs w:val="24"/>
        </w:rPr>
        <w:t>To facilitate the aggregation of state data into a national picture of pedestrian fatalities and injuries, a common data structure needs to be used by the many jurisdictions compiling the data.</w:t>
      </w:r>
    </w:p>
    <w:p w14:paraId="4BCDC183" w14:textId="364C0212" w:rsidR="00023DD1" w:rsidRPr="00F514BA" w:rsidRDefault="00F123A3" w:rsidP="00FE43B3">
      <w:pPr>
        <w:spacing w:after="0" w:line="240" w:lineRule="auto"/>
        <w:rPr>
          <w:rFonts w:cstheme="minorHAnsi"/>
          <w:b/>
          <w:bCs/>
          <w:sz w:val="24"/>
          <w:szCs w:val="24"/>
        </w:rPr>
      </w:pPr>
      <w:r>
        <w:rPr>
          <w:rFonts w:cstheme="minorHAnsi"/>
          <w:noProof/>
          <w:sz w:val="24"/>
          <w:szCs w:val="24"/>
        </w:rPr>
        <w:pict w14:anchorId="2F85AD09">
          <v:rect id="_x0000_i1027" alt="" style="width:468pt;height:.05pt;mso-width-percent:0;mso-height-percent:0;mso-width-percent:0;mso-height-percent:0" o:hralign="center" o:hrstd="t" o:hr="t" fillcolor="#a0a0a0" stroked="f"/>
        </w:pict>
      </w:r>
    </w:p>
    <w:p w14:paraId="2DA71EAA" w14:textId="7F502656" w:rsidR="00B62F05" w:rsidRDefault="00B62F05">
      <w:pPr>
        <w:rPr>
          <w:rFonts w:cstheme="minorHAnsi"/>
          <w:b/>
          <w:bCs/>
          <w:sz w:val="24"/>
          <w:szCs w:val="24"/>
        </w:rPr>
      </w:pPr>
      <w:r>
        <w:rPr>
          <w:rFonts w:cstheme="minorHAnsi"/>
          <w:b/>
          <w:bCs/>
          <w:sz w:val="24"/>
          <w:szCs w:val="24"/>
        </w:rPr>
        <w:br w:type="page"/>
      </w:r>
    </w:p>
    <w:p w14:paraId="2CDC4FDF" w14:textId="09869752" w:rsidR="00D810FB" w:rsidRPr="002A0E15" w:rsidRDefault="00F123A3" w:rsidP="00FE43B3">
      <w:pPr>
        <w:spacing w:after="0" w:line="240" w:lineRule="auto"/>
        <w:rPr>
          <w:rFonts w:cstheme="minorHAnsi"/>
          <w:sz w:val="28"/>
          <w:szCs w:val="28"/>
        </w:rPr>
      </w:pPr>
      <w:r>
        <w:rPr>
          <w:rFonts w:cstheme="minorHAnsi"/>
          <w:noProof/>
          <w:sz w:val="28"/>
          <w:szCs w:val="28"/>
        </w:rPr>
        <w:lastRenderedPageBreak/>
        <w:pict w14:anchorId="0B67E515">
          <v:rect id="_x0000_i1028" alt="" style="width:468pt;height:.05pt;mso-width-percent:0;mso-height-percent:0;mso-width-percent:0;mso-height-percent:0" o:hralign="center" o:hrstd="t" o:hr="t" fillcolor="#a0a0a0" stroked="f"/>
        </w:pict>
      </w:r>
      <w:r w:rsidR="00D810FB" w:rsidRPr="002A0E15">
        <w:rPr>
          <w:rFonts w:cstheme="minorHAnsi"/>
          <w:sz w:val="28"/>
          <w:szCs w:val="28"/>
        </w:rPr>
        <w:t>Select Risk Factors Associated with Causes of Motorcycle Crashes</w:t>
      </w:r>
    </w:p>
    <w:p w14:paraId="32E394E5" w14:textId="4AD6A6FD" w:rsidR="00D810FB" w:rsidRPr="002A0E15" w:rsidRDefault="00D810FB" w:rsidP="00FE43B3">
      <w:pPr>
        <w:spacing w:after="0" w:line="240" w:lineRule="auto"/>
        <w:rPr>
          <w:rFonts w:cstheme="minorHAnsi"/>
          <w:sz w:val="24"/>
          <w:szCs w:val="24"/>
        </w:rPr>
      </w:pPr>
      <w:r w:rsidRPr="002A0E15">
        <w:rPr>
          <w:rFonts w:cstheme="minorHAnsi"/>
          <w:sz w:val="24"/>
          <w:szCs w:val="24"/>
        </w:rPr>
        <w:t>Safety Report</w:t>
      </w:r>
      <w:r w:rsidR="00C332A1" w:rsidRPr="002A0E15">
        <w:rPr>
          <w:rFonts w:cstheme="minorHAnsi"/>
          <w:sz w:val="24"/>
          <w:szCs w:val="24"/>
        </w:rPr>
        <w:br/>
        <w:t>2018</w:t>
      </w:r>
    </w:p>
    <w:p w14:paraId="08DB282A" w14:textId="77777777" w:rsidR="00D810FB" w:rsidRPr="00F514BA" w:rsidRDefault="00D810FB" w:rsidP="00FE43B3">
      <w:pPr>
        <w:spacing w:after="0" w:line="240" w:lineRule="auto"/>
        <w:rPr>
          <w:rFonts w:cstheme="minorHAnsi"/>
          <w:b/>
          <w:bCs/>
          <w:sz w:val="24"/>
          <w:szCs w:val="24"/>
        </w:rPr>
      </w:pPr>
    </w:p>
    <w:p w14:paraId="7729B375" w14:textId="57491007" w:rsidR="007D31CA" w:rsidRPr="00F514BA" w:rsidRDefault="00F21AB2" w:rsidP="00856C26">
      <w:pPr>
        <w:autoSpaceDE w:val="0"/>
        <w:autoSpaceDN w:val="0"/>
        <w:adjustRightInd w:val="0"/>
        <w:spacing w:after="0" w:line="240" w:lineRule="auto"/>
        <w:rPr>
          <w:rFonts w:cstheme="minorHAnsi"/>
          <w:sz w:val="24"/>
          <w:szCs w:val="24"/>
          <w:shd w:val="clear" w:color="auto" w:fill="FFFFFF"/>
        </w:rPr>
      </w:pPr>
      <w:r w:rsidRPr="00F514BA">
        <w:rPr>
          <w:rFonts w:cstheme="minorHAnsi"/>
          <w:sz w:val="24"/>
          <w:szCs w:val="24"/>
        </w:rPr>
        <w:t xml:space="preserve">This is an excerpt from the full investigative report. </w:t>
      </w:r>
      <w:r w:rsidRPr="00F514BA">
        <w:rPr>
          <w:rFonts w:cstheme="minorHAnsi"/>
          <w:b/>
          <w:bCs/>
          <w:sz w:val="24"/>
          <w:szCs w:val="24"/>
        </w:rPr>
        <w:t>This information does not include all the safety issues, findings</w:t>
      </w:r>
      <w:r w:rsidR="006B65C3" w:rsidRPr="00F514BA">
        <w:rPr>
          <w:rFonts w:cstheme="minorHAnsi"/>
          <w:b/>
          <w:bCs/>
          <w:sz w:val="24"/>
          <w:szCs w:val="24"/>
        </w:rPr>
        <w:t>,</w:t>
      </w:r>
      <w:r w:rsidRPr="00F514BA">
        <w:rPr>
          <w:rFonts w:cstheme="minorHAnsi"/>
          <w:b/>
          <w:bCs/>
          <w:sz w:val="24"/>
          <w:szCs w:val="24"/>
        </w:rPr>
        <w:t xml:space="preserve"> and recommendations issued in the report, but instead focuses on </w:t>
      </w:r>
      <w:r w:rsidR="006B65C3" w:rsidRPr="00F514BA">
        <w:rPr>
          <w:rFonts w:cstheme="minorHAnsi"/>
          <w:b/>
          <w:bCs/>
          <w:sz w:val="24"/>
          <w:szCs w:val="24"/>
        </w:rPr>
        <w:t>those that are</w:t>
      </w:r>
      <w:r w:rsidRPr="00F514BA">
        <w:rPr>
          <w:rFonts w:cstheme="minorHAnsi"/>
          <w:b/>
          <w:bCs/>
          <w:sz w:val="24"/>
          <w:szCs w:val="24"/>
        </w:rPr>
        <w:t xml:space="preserve"> directly related to the safety item</w:t>
      </w:r>
      <w:r w:rsidR="002446CD" w:rsidRPr="00F514BA">
        <w:rPr>
          <w:rFonts w:cstheme="minorHAnsi"/>
          <w:bCs/>
          <w:sz w:val="24"/>
          <w:szCs w:val="24"/>
        </w:rPr>
        <w:t>.</w:t>
      </w:r>
      <w:r w:rsidR="00023DD1" w:rsidRPr="00F514BA">
        <w:rPr>
          <w:rFonts w:cstheme="minorHAnsi"/>
          <w:sz w:val="24"/>
          <w:szCs w:val="24"/>
        </w:rPr>
        <w:t xml:space="preserve"> Read the complete</w:t>
      </w:r>
      <w:r w:rsidRPr="00F514BA">
        <w:rPr>
          <w:rFonts w:cstheme="minorHAnsi"/>
          <w:sz w:val="24"/>
          <w:szCs w:val="24"/>
        </w:rPr>
        <w:t xml:space="preserve"> report: </w:t>
      </w:r>
      <w:hyperlink r:id="rId16" w:history="1">
        <w:r w:rsidR="007D31CA" w:rsidRPr="00F514BA">
          <w:rPr>
            <w:rFonts w:cstheme="minorHAnsi"/>
            <w:color w:val="0000FF"/>
            <w:sz w:val="24"/>
            <w:szCs w:val="24"/>
            <w:u w:val="single"/>
            <w:shd w:val="clear" w:color="auto" w:fill="FFFFFF"/>
          </w:rPr>
          <w:t>https://www.ntsb.gov/safety/safety-studies/Documents/SR1801.pdf</w:t>
        </w:r>
      </w:hyperlink>
    </w:p>
    <w:p w14:paraId="15D692EE" w14:textId="0A286A8C" w:rsidR="007D31CA" w:rsidRPr="00F514BA" w:rsidRDefault="007D31CA" w:rsidP="00FE43B3">
      <w:pPr>
        <w:spacing w:after="0" w:line="240" w:lineRule="auto"/>
        <w:rPr>
          <w:rFonts w:cstheme="minorHAnsi"/>
          <w:sz w:val="24"/>
          <w:szCs w:val="24"/>
        </w:rPr>
      </w:pPr>
    </w:p>
    <w:p w14:paraId="233FC136" w14:textId="3D38BFBB" w:rsidR="00D810FB" w:rsidRPr="00F514BA" w:rsidRDefault="00CD5EC5" w:rsidP="00FE43B3">
      <w:pPr>
        <w:spacing w:after="0" w:line="240" w:lineRule="auto"/>
        <w:rPr>
          <w:rFonts w:cstheme="minorHAnsi"/>
          <w:b/>
          <w:bCs/>
          <w:sz w:val="24"/>
          <w:szCs w:val="24"/>
        </w:rPr>
      </w:pPr>
      <w:r>
        <w:rPr>
          <w:rFonts w:cstheme="minorHAnsi"/>
          <w:b/>
          <w:bCs/>
          <w:sz w:val="24"/>
          <w:szCs w:val="24"/>
        </w:rPr>
        <w:t>Safety Topic</w:t>
      </w:r>
      <w:r w:rsidR="00F73AF9">
        <w:rPr>
          <w:rFonts w:cstheme="minorHAnsi"/>
          <w:b/>
          <w:bCs/>
          <w:sz w:val="24"/>
          <w:szCs w:val="24"/>
        </w:rPr>
        <w:br/>
      </w:r>
    </w:p>
    <w:p w14:paraId="61EDC82A" w14:textId="4B8C23BF" w:rsidR="00023DD1" w:rsidRPr="00F514BA" w:rsidRDefault="00500EC0" w:rsidP="00856C26">
      <w:pPr>
        <w:spacing w:after="0" w:line="240" w:lineRule="auto"/>
        <w:rPr>
          <w:rFonts w:cstheme="minorHAnsi"/>
          <w:b/>
          <w:bCs/>
          <w:sz w:val="24"/>
          <w:szCs w:val="24"/>
        </w:rPr>
      </w:pPr>
      <w:r w:rsidRPr="5BBED7E0">
        <w:rPr>
          <w:sz w:val="24"/>
          <w:szCs w:val="24"/>
        </w:rPr>
        <w:t>In this safety report, the NTSB assesses select risk factors associated with the causes of motorcycle crashes in the United States. The Federal Highway Administration provided the data analyzed in this report from its 2016 Motorcycle Crash Causation Study (MCCS). The MCCS represents the most recent data available for studying motorcycle crashes and risk factors in the United States since the US Department of Transportation published its comprehensive Motorcycle Accident Cause Factors and Identification of Countermeasures, commonly known as the Hurt Report, in 1981.</w:t>
      </w:r>
    </w:p>
    <w:p w14:paraId="2C141249" w14:textId="77777777" w:rsidR="00FE43B3" w:rsidRPr="00F514BA" w:rsidRDefault="00FE43B3" w:rsidP="00FE43B3">
      <w:pPr>
        <w:spacing w:after="0" w:line="240" w:lineRule="auto"/>
        <w:rPr>
          <w:rFonts w:cstheme="minorHAnsi"/>
          <w:b/>
          <w:bCs/>
          <w:sz w:val="24"/>
          <w:szCs w:val="24"/>
        </w:rPr>
      </w:pPr>
    </w:p>
    <w:p w14:paraId="558AC1CF" w14:textId="118EFAB7" w:rsidR="00FE43B3" w:rsidRPr="00F514BA" w:rsidRDefault="00D810FB" w:rsidP="5BBED7E0">
      <w:pPr>
        <w:spacing w:after="0" w:line="240" w:lineRule="auto"/>
        <w:rPr>
          <w:b/>
          <w:bCs/>
          <w:sz w:val="24"/>
          <w:szCs w:val="24"/>
        </w:rPr>
      </w:pPr>
      <w:r w:rsidRPr="5BBED7E0">
        <w:rPr>
          <w:b/>
          <w:bCs/>
          <w:sz w:val="24"/>
          <w:szCs w:val="24"/>
        </w:rPr>
        <w:t>F</w:t>
      </w:r>
      <w:r w:rsidR="00CD5EC5">
        <w:rPr>
          <w:b/>
          <w:bCs/>
          <w:sz w:val="24"/>
          <w:szCs w:val="24"/>
        </w:rPr>
        <w:t>indings</w:t>
      </w:r>
      <w:r w:rsidR="00F73AF9">
        <w:rPr>
          <w:b/>
          <w:bCs/>
          <w:sz w:val="24"/>
          <w:szCs w:val="24"/>
        </w:rPr>
        <w:br/>
      </w:r>
    </w:p>
    <w:p w14:paraId="668267A4" w14:textId="2FEA63D1" w:rsidR="00866B51" w:rsidRPr="00F514BA" w:rsidRDefault="00866B51" w:rsidP="00F51920">
      <w:pPr>
        <w:pStyle w:val="ListParagraph"/>
        <w:numPr>
          <w:ilvl w:val="0"/>
          <w:numId w:val="20"/>
        </w:numPr>
        <w:spacing w:after="0" w:line="240" w:lineRule="auto"/>
        <w:rPr>
          <w:rFonts w:cstheme="minorHAnsi"/>
          <w:sz w:val="24"/>
          <w:szCs w:val="24"/>
        </w:rPr>
      </w:pPr>
      <w:r w:rsidRPr="00F514BA">
        <w:rPr>
          <w:rFonts w:cstheme="minorHAnsi"/>
          <w:sz w:val="24"/>
          <w:szCs w:val="24"/>
        </w:rPr>
        <w:t xml:space="preserve">Many high-risk traffic situations between motorcycles and other motor vehicles could be prevented if vehicle drivers were better able to detect and anticipate the presence of a motorcycle when entering or crossing a road, making a turn, or changing lanes. </w:t>
      </w:r>
    </w:p>
    <w:p w14:paraId="3D3DFD9B" w14:textId="77777777" w:rsidR="00866B51" w:rsidRPr="00F514BA" w:rsidRDefault="00866B51" w:rsidP="00F51920">
      <w:pPr>
        <w:pStyle w:val="ListParagraph"/>
        <w:numPr>
          <w:ilvl w:val="0"/>
          <w:numId w:val="20"/>
        </w:numPr>
        <w:spacing w:line="240" w:lineRule="auto"/>
        <w:rPr>
          <w:rFonts w:cstheme="minorHAnsi"/>
          <w:sz w:val="24"/>
          <w:szCs w:val="24"/>
        </w:rPr>
      </w:pPr>
      <w:r w:rsidRPr="00F514BA">
        <w:rPr>
          <w:rFonts w:cstheme="minorHAnsi"/>
          <w:sz w:val="24"/>
          <w:szCs w:val="24"/>
        </w:rPr>
        <w:t xml:space="preserve">Motorcycle riders’ collision avoidance performance could be improved by extending the range of hazard detection and providing riders with more information, enhanced awareness, and more time to react to crash risks. </w:t>
      </w:r>
    </w:p>
    <w:p w14:paraId="084ABD2D" w14:textId="77777777" w:rsidR="00866B51" w:rsidRPr="00F514BA" w:rsidRDefault="00866B51" w:rsidP="00F51920">
      <w:pPr>
        <w:pStyle w:val="ListParagraph"/>
        <w:numPr>
          <w:ilvl w:val="0"/>
          <w:numId w:val="20"/>
        </w:numPr>
        <w:spacing w:line="240" w:lineRule="auto"/>
        <w:rPr>
          <w:rFonts w:cstheme="minorHAnsi"/>
          <w:sz w:val="24"/>
          <w:szCs w:val="24"/>
        </w:rPr>
      </w:pPr>
      <w:r w:rsidRPr="00F514BA">
        <w:rPr>
          <w:rFonts w:cstheme="minorHAnsi"/>
          <w:sz w:val="24"/>
          <w:szCs w:val="24"/>
        </w:rPr>
        <w:t xml:space="preserve">Vehicle-based crash warning and prevention systems will be most effective at preventing collisions when they can reliably detect all vehicle types, including motorcycles. </w:t>
      </w:r>
    </w:p>
    <w:p w14:paraId="352C1DBB" w14:textId="19299AC9" w:rsidR="00866B51" w:rsidRPr="00F514BA" w:rsidRDefault="00866B51" w:rsidP="00F51920">
      <w:pPr>
        <w:pStyle w:val="ListParagraph"/>
        <w:numPr>
          <w:ilvl w:val="0"/>
          <w:numId w:val="20"/>
        </w:numPr>
        <w:spacing w:line="240" w:lineRule="auto"/>
        <w:rPr>
          <w:rFonts w:cstheme="minorHAnsi"/>
          <w:sz w:val="24"/>
          <w:szCs w:val="24"/>
        </w:rPr>
      </w:pPr>
      <w:r w:rsidRPr="00F514BA">
        <w:rPr>
          <w:rFonts w:cstheme="minorHAnsi"/>
          <w:sz w:val="24"/>
          <w:szCs w:val="24"/>
        </w:rPr>
        <w:t xml:space="preserve">The integration of motorcycles with connected vehicle-to-vehicle and vehicle-to-infrastructure systems has been limited compared to other vehicle types. </w:t>
      </w:r>
    </w:p>
    <w:p w14:paraId="383C844B" w14:textId="77777777" w:rsidR="00866B51" w:rsidRPr="00F514BA" w:rsidRDefault="00866B51" w:rsidP="00F51920">
      <w:pPr>
        <w:pStyle w:val="ListParagraph"/>
        <w:numPr>
          <w:ilvl w:val="0"/>
          <w:numId w:val="20"/>
        </w:numPr>
        <w:spacing w:line="240" w:lineRule="auto"/>
        <w:rPr>
          <w:rFonts w:cstheme="minorHAnsi"/>
          <w:sz w:val="24"/>
          <w:szCs w:val="24"/>
        </w:rPr>
      </w:pPr>
      <w:r w:rsidRPr="00F514BA">
        <w:rPr>
          <w:rFonts w:cstheme="minorHAnsi"/>
          <w:sz w:val="24"/>
          <w:szCs w:val="24"/>
        </w:rPr>
        <w:t xml:space="preserve">Antilock braking system technology would improve motorcycle safety by enhancing the effectiveness of rider evasive actions through improved braking performance and stability. </w:t>
      </w:r>
    </w:p>
    <w:p w14:paraId="5F515C02" w14:textId="77777777" w:rsidR="00866B51" w:rsidRPr="00F514BA" w:rsidRDefault="00866B51" w:rsidP="00F51920">
      <w:pPr>
        <w:pStyle w:val="ListParagraph"/>
        <w:numPr>
          <w:ilvl w:val="0"/>
          <w:numId w:val="20"/>
        </w:numPr>
        <w:spacing w:line="240" w:lineRule="auto"/>
        <w:rPr>
          <w:rFonts w:cstheme="minorHAnsi"/>
          <w:b/>
          <w:bCs/>
          <w:sz w:val="24"/>
          <w:szCs w:val="24"/>
        </w:rPr>
      </w:pPr>
      <w:r w:rsidRPr="00F514BA">
        <w:rPr>
          <w:rFonts w:cstheme="minorHAnsi"/>
          <w:sz w:val="24"/>
          <w:szCs w:val="24"/>
        </w:rPr>
        <w:t>Stability control systems on motorcycles could reduce single-vehicle crashes that involve loss of control and running wide on a curve and off the road, which would reduce the prevalence of motorcyclists killed or injured by impacts with roadside fixed objects.</w:t>
      </w:r>
    </w:p>
    <w:p w14:paraId="2EA0C9D7" w14:textId="62988D0C" w:rsidR="00023DD1" w:rsidRPr="00F514BA" w:rsidRDefault="00F123A3" w:rsidP="00FE43B3">
      <w:pPr>
        <w:pStyle w:val="ListParagraph"/>
        <w:spacing w:after="0" w:line="240" w:lineRule="auto"/>
        <w:ind w:left="0"/>
        <w:rPr>
          <w:rFonts w:cstheme="minorHAnsi"/>
          <w:b/>
          <w:bCs/>
          <w:sz w:val="24"/>
          <w:szCs w:val="24"/>
        </w:rPr>
      </w:pPr>
      <w:r>
        <w:rPr>
          <w:rFonts w:cstheme="minorHAnsi"/>
          <w:noProof/>
          <w:sz w:val="24"/>
          <w:szCs w:val="24"/>
        </w:rPr>
        <w:pict w14:anchorId="696C0183">
          <v:rect id="_x0000_i1029" alt="" style="width:468pt;height:.05pt;mso-width-percent:0;mso-height-percent:0;mso-width-percent:0;mso-height-percent:0" o:hralign="center" o:hrstd="t" o:hr="t" fillcolor="#a0a0a0" stroked="f"/>
        </w:pict>
      </w:r>
    </w:p>
    <w:p w14:paraId="48F8D6A0" w14:textId="446F37F5" w:rsidR="00866B51" w:rsidRPr="00F514BA" w:rsidRDefault="00866B51" w:rsidP="00B62F05">
      <w:pPr>
        <w:pStyle w:val="ListParagraph"/>
        <w:spacing w:after="0" w:line="240" w:lineRule="auto"/>
        <w:rPr>
          <w:rFonts w:cstheme="minorHAnsi"/>
          <w:sz w:val="24"/>
          <w:szCs w:val="24"/>
        </w:rPr>
      </w:pPr>
    </w:p>
    <w:sectPr w:rsidR="00866B51" w:rsidRPr="00F514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E25C5" w14:textId="77777777" w:rsidR="00F123A3" w:rsidRDefault="00F123A3" w:rsidP="007D11C9">
      <w:pPr>
        <w:spacing w:after="0" w:line="240" w:lineRule="auto"/>
      </w:pPr>
      <w:r>
        <w:separator/>
      </w:r>
    </w:p>
  </w:endnote>
  <w:endnote w:type="continuationSeparator" w:id="0">
    <w:p w14:paraId="1785A36D" w14:textId="77777777" w:rsidR="00F123A3" w:rsidRDefault="00F123A3" w:rsidP="007D11C9">
      <w:pPr>
        <w:spacing w:after="0" w:line="240" w:lineRule="auto"/>
      </w:pPr>
      <w:r>
        <w:continuationSeparator/>
      </w:r>
    </w:p>
  </w:endnote>
  <w:endnote w:type="continuationNotice" w:id="1">
    <w:p w14:paraId="052708B2" w14:textId="77777777" w:rsidR="00F123A3" w:rsidRDefault="00F123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8272156"/>
      <w:docPartObj>
        <w:docPartGallery w:val="Page Numbers (Bottom of Page)"/>
        <w:docPartUnique/>
      </w:docPartObj>
    </w:sdtPr>
    <w:sdtEndPr>
      <w:rPr>
        <w:rStyle w:val="PageNumber"/>
      </w:rPr>
    </w:sdtEndPr>
    <w:sdtContent>
      <w:p w14:paraId="1409B520" w14:textId="7A385A9B" w:rsidR="002A0E15" w:rsidRDefault="002A0E15"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D68DA1" w14:textId="77777777" w:rsidR="002A0E15" w:rsidRDefault="002A0E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36281362"/>
      <w:docPartObj>
        <w:docPartGallery w:val="Page Numbers (Bottom of Page)"/>
        <w:docPartUnique/>
      </w:docPartObj>
    </w:sdtPr>
    <w:sdtEndPr>
      <w:rPr>
        <w:rStyle w:val="PageNumber"/>
      </w:rPr>
    </w:sdtEndPr>
    <w:sdtContent>
      <w:p w14:paraId="24F822B4" w14:textId="5E67A412" w:rsidR="002A0E15" w:rsidRDefault="002A0E15"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24970AE" w14:textId="4EB2510A" w:rsidR="002A0E15" w:rsidRDefault="002A0E15">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3BCD0" w14:textId="77777777" w:rsidR="00F123A3" w:rsidRDefault="00F123A3" w:rsidP="007D11C9">
      <w:pPr>
        <w:spacing w:after="0" w:line="240" w:lineRule="auto"/>
      </w:pPr>
      <w:r>
        <w:separator/>
      </w:r>
    </w:p>
  </w:footnote>
  <w:footnote w:type="continuationSeparator" w:id="0">
    <w:p w14:paraId="38D5580C" w14:textId="77777777" w:rsidR="00F123A3" w:rsidRDefault="00F123A3" w:rsidP="007D11C9">
      <w:pPr>
        <w:spacing w:after="0" w:line="240" w:lineRule="auto"/>
      </w:pPr>
      <w:r>
        <w:continuationSeparator/>
      </w:r>
    </w:p>
  </w:footnote>
  <w:footnote w:type="continuationNotice" w:id="1">
    <w:p w14:paraId="67060ADE" w14:textId="77777777" w:rsidR="00F123A3" w:rsidRDefault="00F123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CF30" w14:textId="15554717" w:rsidR="002A0E15" w:rsidRPr="002A0E15" w:rsidRDefault="002A0E15" w:rsidP="002A0E15">
    <w:pPr>
      <w:tabs>
        <w:tab w:val="right" w:pos="9360"/>
      </w:tabs>
      <w:spacing w:after="0" w:line="240" w:lineRule="auto"/>
      <w:ind w:left="720" w:hanging="720"/>
      <w:rPr>
        <w:rFonts w:cstheme="minorHAnsi"/>
        <w:b/>
        <w:bCs/>
      </w:rPr>
    </w:pPr>
    <w:r w:rsidRPr="002A0E15">
      <w:t xml:space="preserve">2021–2022 </w:t>
    </w:r>
    <w:r w:rsidR="00670024">
      <w:t>NTSB MWL</w:t>
    </w:r>
    <w:r w:rsidRPr="002A0E15">
      <w:t xml:space="preserve"> Advocacy Toolkit</w:t>
    </w:r>
    <w:r w:rsidRPr="002A0E15">
      <w:tab/>
    </w:r>
    <w:r w:rsidRPr="002A0E15">
      <w:rPr>
        <w:b/>
        <w:bCs/>
      </w:rPr>
      <w:t>Appendix B – Report Summaries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7F48"/>
    <w:multiLevelType w:val="hybridMultilevel"/>
    <w:tmpl w:val="7E6694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AB53B0"/>
    <w:multiLevelType w:val="hybridMultilevel"/>
    <w:tmpl w:val="A560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C68E8"/>
    <w:multiLevelType w:val="hybridMultilevel"/>
    <w:tmpl w:val="A9BE6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81E91"/>
    <w:multiLevelType w:val="hybridMultilevel"/>
    <w:tmpl w:val="FCE6B324"/>
    <w:lvl w:ilvl="0" w:tplc="A246DA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87A23"/>
    <w:multiLevelType w:val="hybridMultilevel"/>
    <w:tmpl w:val="A37EA2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F71AD"/>
    <w:multiLevelType w:val="hybridMultilevel"/>
    <w:tmpl w:val="966A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87422"/>
    <w:multiLevelType w:val="hybridMultilevel"/>
    <w:tmpl w:val="225EB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40B25"/>
    <w:multiLevelType w:val="hybridMultilevel"/>
    <w:tmpl w:val="61D82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60B35"/>
    <w:multiLevelType w:val="hybridMultilevel"/>
    <w:tmpl w:val="4C62A9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AC48C7"/>
    <w:multiLevelType w:val="hybridMultilevel"/>
    <w:tmpl w:val="3DD69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4122C"/>
    <w:multiLevelType w:val="hybridMultilevel"/>
    <w:tmpl w:val="E33AA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81FEA"/>
    <w:multiLevelType w:val="hybridMultilevel"/>
    <w:tmpl w:val="430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91384F"/>
    <w:multiLevelType w:val="hybridMultilevel"/>
    <w:tmpl w:val="D9E6C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163D7"/>
    <w:multiLevelType w:val="hybridMultilevel"/>
    <w:tmpl w:val="FE023C6C"/>
    <w:lvl w:ilvl="0" w:tplc="A246DAC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B1136"/>
    <w:multiLevelType w:val="hybridMultilevel"/>
    <w:tmpl w:val="F1ACF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1E1E0F"/>
    <w:multiLevelType w:val="hybridMultilevel"/>
    <w:tmpl w:val="F17CC784"/>
    <w:lvl w:ilvl="0" w:tplc="EA820A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23080D"/>
    <w:multiLevelType w:val="hybridMultilevel"/>
    <w:tmpl w:val="26AE5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018EA"/>
    <w:multiLevelType w:val="hybridMultilevel"/>
    <w:tmpl w:val="718EB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4E5D88"/>
    <w:multiLevelType w:val="hybridMultilevel"/>
    <w:tmpl w:val="E544E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961AD1"/>
    <w:multiLevelType w:val="hybridMultilevel"/>
    <w:tmpl w:val="FD1E0712"/>
    <w:lvl w:ilvl="0" w:tplc="0552902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7170E3"/>
    <w:multiLevelType w:val="hybridMultilevel"/>
    <w:tmpl w:val="FAD0A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BF3029"/>
    <w:multiLevelType w:val="hybridMultilevel"/>
    <w:tmpl w:val="0E8C7072"/>
    <w:lvl w:ilvl="0" w:tplc="A246DA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833F5"/>
    <w:multiLevelType w:val="hybridMultilevel"/>
    <w:tmpl w:val="15F2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640B69"/>
    <w:multiLevelType w:val="hybridMultilevel"/>
    <w:tmpl w:val="B3B6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EE6024"/>
    <w:multiLevelType w:val="hybridMultilevel"/>
    <w:tmpl w:val="02049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E50E1"/>
    <w:multiLevelType w:val="hybridMultilevel"/>
    <w:tmpl w:val="7E120050"/>
    <w:lvl w:ilvl="0" w:tplc="0552902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5F6E9A"/>
    <w:multiLevelType w:val="hybridMultilevel"/>
    <w:tmpl w:val="BBCE5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243F6"/>
    <w:multiLevelType w:val="hybridMultilevel"/>
    <w:tmpl w:val="1770912E"/>
    <w:lvl w:ilvl="0" w:tplc="8B56F6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5"/>
  </w:num>
  <w:num w:numId="3">
    <w:abstractNumId w:val="19"/>
  </w:num>
  <w:num w:numId="4">
    <w:abstractNumId w:val="26"/>
  </w:num>
  <w:num w:numId="5">
    <w:abstractNumId w:val="12"/>
  </w:num>
  <w:num w:numId="6">
    <w:abstractNumId w:val="15"/>
  </w:num>
  <w:num w:numId="7">
    <w:abstractNumId w:val="10"/>
  </w:num>
  <w:num w:numId="8">
    <w:abstractNumId w:val="23"/>
  </w:num>
  <w:num w:numId="9">
    <w:abstractNumId w:val="27"/>
  </w:num>
  <w:num w:numId="10">
    <w:abstractNumId w:val="4"/>
  </w:num>
  <w:num w:numId="11">
    <w:abstractNumId w:val="2"/>
  </w:num>
  <w:num w:numId="12">
    <w:abstractNumId w:val="11"/>
  </w:num>
  <w:num w:numId="13">
    <w:abstractNumId w:val="14"/>
  </w:num>
  <w:num w:numId="14">
    <w:abstractNumId w:val="24"/>
  </w:num>
  <w:num w:numId="15">
    <w:abstractNumId w:val="6"/>
  </w:num>
  <w:num w:numId="16">
    <w:abstractNumId w:val="18"/>
  </w:num>
  <w:num w:numId="17">
    <w:abstractNumId w:val="20"/>
  </w:num>
  <w:num w:numId="18">
    <w:abstractNumId w:val="16"/>
  </w:num>
  <w:num w:numId="19">
    <w:abstractNumId w:val="17"/>
  </w:num>
  <w:num w:numId="20">
    <w:abstractNumId w:val="1"/>
  </w:num>
  <w:num w:numId="21">
    <w:abstractNumId w:val="5"/>
  </w:num>
  <w:num w:numId="22">
    <w:abstractNumId w:val="9"/>
  </w:num>
  <w:num w:numId="23">
    <w:abstractNumId w:val="0"/>
  </w:num>
  <w:num w:numId="24">
    <w:abstractNumId w:val="7"/>
  </w:num>
  <w:num w:numId="25">
    <w:abstractNumId w:val="3"/>
  </w:num>
  <w:num w:numId="26">
    <w:abstractNumId w:val="8"/>
  </w:num>
  <w:num w:numId="27">
    <w:abstractNumId w:val="21"/>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DCD"/>
    <w:rsid w:val="00023DD1"/>
    <w:rsid w:val="000259B8"/>
    <w:rsid w:val="000C2B94"/>
    <w:rsid w:val="000D5E54"/>
    <w:rsid w:val="001511B7"/>
    <w:rsid w:val="00152917"/>
    <w:rsid w:val="001774FD"/>
    <w:rsid w:val="002255BB"/>
    <w:rsid w:val="002446CD"/>
    <w:rsid w:val="002936A4"/>
    <w:rsid w:val="002A0E15"/>
    <w:rsid w:val="002B4A9C"/>
    <w:rsid w:val="00302869"/>
    <w:rsid w:val="003254FB"/>
    <w:rsid w:val="00334D6F"/>
    <w:rsid w:val="00364FAF"/>
    <w:rsid w:val="00386F1B"/>
    <w:rsid w:val="004050B4"/>
    <w:rsid w:val="00417B25"/>
    <w:rsid w:val="00487274"/>
    <w:rsid w:val="004C5210"/>
    <w:rsid w:val="004F632D"/>
    <w:rsid w:val="00500EC0"/>
    <w:rsid w:val="00501EA8"/>
    <w:rsid w:val="005340B1"/>
    <w:rsid w:val="00560C37"/>
    <w:rsid w:val="005845C8"/>
    <w:rsid w:val="005920EE"/>
    <w:rsid w:val="005D7FF2"/>
    <w:rsid w:val="006526FA"/>
    <w:rsid w:val="00670024"/>
    <w:rsid w:val="006919F0"/>
    <w:rsid w:val="006A76C8"/>
    <w:rsid w:val="006B65C3"/>
    <w:rsid w:val="006F7DBB"/>
    <w:rsid w:val="007610EA"/>
    <w:rsid w:val="007B333C"/>
    <w:rsid w:val="007B62AD"/>
    <w:rsid w:val="007D11C9"/>
    <w:rsid w:val="007D31CA"/>
    <w:rsid w:val="007F3E7C"/>
    <w:rsid w:val="00856C26"/>
    <w:rsid w:val="00866B51"/>
    <w:rsid w:val="008833B4"/>
    <w:rsid w:val="00894A92"/>
    <w:rsid w:val="008F3490"/>
    <w:rsid w:val="00911C3D"/>
    <w:rsid w:val="00930342"/>
    <w:rsid w:val="00980AD9"/>
    <w:rsid w:val="009B3008"/>
    <w:rsid w:val="009C2E05"/>
    <w:rsid w:val="00A26A7F"/>
    <w:rsid w:val="00A832CA"/>
    <w:rsid w:val="00A9116B"/>
    <w:rsid w:val="00A97422"/>
    <w:rsid w:val="00AA0552"/>
    <w:rsid w:val="00AF1EC6"/>
    <w:rsid w:val="00B05752"/>
    <w:rsid w:val="00B17DCD"/>
    <w:rsid w:val="00B42545"/>
    <w:rsid w:val="00B622E9"/>
    <w:rsid w:val="00B62F05"/>
    <w:rsid w:val="00BB15A6"/>
    <w:rsid w:val="00BC63C6"/>
    <w:rsid w:val="00C1298C"/>
    <w:rsid w:val="00C332A1"/>
    <w:rsid w:val="00C40437"/>
    <w:rsid w:val="00C40FE1"/>
    <w:rsid w:val="00C4609A"/>
    <w:rsid w:val="00C65EF2"/>
    <w:rsid w:val="00CD54C8"/>
    <w:rsid w:val="00CD5EC5"/>
    <w:rsid w:val="00D271C8"/>
    <w:rsid w:val="00D7068D"/>
    <w:rsid w:val="00D810FB"/>
    <w:rsid w:val="00DA136B"/>
    <w:rsid w:val="00E05F14"/>
    <w:rsid w:val="00E629CB"/>
    <w:rsid w:val="00E85A78"/>
    <w:rsid w:val="00E87F89"/>
    <w:rsid w:val="00E92AA8"/>
    <w:rsid w:val="00EA1B4C"/>
    <w:rsid w:val="00EA650C"/>
    <w:rsid w:val="00EF1A47"/>
    <w:rsid w:val="00F123A3"/>
    <w:rsid w:val="00F21AB2"/>
    <w:rsid w:val="00F514BA"/>
    <w:rsid w:val="00F51920"/>
    <w:rsid w:val="00F54671"/>
    <w:rsid w:val="00F657B1"/>
    <w:rsid w:val="00F73AF9"/>
    <w:rsid w:val="00F8526D"/>
    <w:rsid w:val="00FA61A3"/>
    <w:rsid w:val="00FB2CA0"/>
    <w:rsid w:val="00FE43B3"/>
    <w:rsid w:val="092918ED"/>
    <w:rsid w:val="10CFB292"/>
    <w:rsid w:val="340D0B8F"/>
    <w:rsid w:val="3E0CE759"/>
    <w:rsid w:val="3F7385B4"/>
    <w:rsid w:val="5BBED7E0"/>
    <w:rsid w:val="6B08D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1CC705"/>
  <w15:chartTrackingRefBased/>
  <w15:docId w15:val="{84B9CC32-C808-4513-AC31-E612FD4B9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0E1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A0E1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A0E1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7D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DCD"/>
    <w:rPr>
      <w:rFonts w:ascii="Segoe UI" w:hAnsi="Segoe UI" w:cs="Segoe UI"/>
      <w:sz w:val="18"/>
      <w:szCs w:val="18"/>
    </w:rPr>
  </w:style>
  <w:style w:type="character" w:styleId="Hyperlink">
    <w:name w:val="Hyperlink"/>
    <w:uiPriority w:val="99"/>
    <w:unhideWhenUsed/>
    <w:rsid w:val="00B17DCD"/>
    <w:rPr>
      <w:strike w:val="0"/>
      <w:dstrike w:val="0"/>
      <w:color w:val="0053A0"/>
      <w:u w:val="none"/>
      <w:effect w:val="none"/>
    </w:rPr>
  </w:style>
  <w:style w:type="paragraph" w:styleId="ListParagraph">
    <w:name w:val="List Paragraph"/>
    <w:basedOn w:val="Normal"/>
    <w:uiPriority w:val="34"/>
    <w:qFormat/>
    <w:rsid w:val="00B17DCD"/>
    <w:pPr>
      <w:ind w:left="720"/>
      <w:contextualSpacing/>
    </w:pPr>
  </w:style>
  <w:style w:type="paragraph" w:customStyle="1" w:styleId="Default">
    <w:name w:val="Default"/>
    <w:rsid w:val="00B17D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noteText">
    <w:name w:val="footnote text"/>
    <w:basedOn w:val="Normal"/>
    <w:link w:val="FootnoteTextChar"/>
    <w:uiPriority w:val="99"/>
    <w:semiHidden/>
    <w:unhideWhenUsed/>
    <w:rsid w:val="007D11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11C9"/>
    <w:rPr>
      <w:sz w:val="20"/>
      <w:szCs w:val="20"/>
    </w:rPr>
  </w:style>
  <w:style w:type="character" w:styleId="FootnoteReference">
    <w:name w:val="footnote reference"/>
    <w:basedOn w:val="DefaultParagraphFont"/>
    <w:uiPriority w:val="99"/>
    <w:semiHidden/>
    <w:unhideWhenUsed/>
    <w:rsid w:val="007D11C9"/>
    <w:rPr>
      <w:vertAlign w:val="superscript"/>
    </w:rPr>
  </w:style>
  <w:style w:type="paragraph" w:styleId="Header">
    <w:name w:val="header"/>
    <w:basedOn w:val="Normal"/>
    <w:link w:val="HeaderChar"/>
    <w:uiPriority w:val="99"/>
    <w:unhideWhenUsed/>
    <w:rsid w:val="007B33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333C"/>
  </w:style>
  <w:style w:type="paragraph" w:styleId="Footer">
    <w:name w:val="footer"/>
    <w:basedOn w:val="Normal"/>
    <w:link w:val="FooterChar"/>
    <w:uiPriority w:val="99"/>
    <w:unhideWhenUsed/>
    <w:rsid w:val="007B33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333C"/>
  </w:style>
  <w:style w:type="character" w:styleId="PageNumber">
    <w:name w:val="page number"/>
    <w:basedOn w:val="DefaultParagraphFont"/>
    <w:uiPriority w:val="99"/>
    <w:semiHidden/>
    <w:unhideWhenUsed/>
    <w:rsid w:val="002A0E15"/>
  </w:style>
  <w:style w:type="paragraph" w:styleId="Title">
    <w:name w:val="Title"/>
    <w:basedOn w:val="Normal"/>
    <w:next w:val="Normal"/>
    <w:link w:val="TitleChar"/>
    <w:uiPriority w:val="10"/>
    <w:qFormat/>
    <w:rsid w:val="002A0E1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0E15"/>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2A0E15"/>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2A0E15"/>
    <w:rPr>
      <w:rFonts w:asciiTheme="majorHAnsi" w:eastAsiaTheme="majorEastAsia" w:hAnsiTheme="majorHAnsi" w:cstheme="majorBidi"/>
      <w:color w:val="2F5496" w:themeColor="accent1" w:themeShade="BF"/>
      <w:sz w:val="32"/>
      <w:szCs w:val="32"/>
    </w:rPr>
  </w:style>
  <w:style w:type="character" w:styleId="IntenseReference">
    <w:name w:val="Intense Reference"/>
    <w:basedOn w:val="DefaultParagraphFont"/>
    <w:uiPriority w:val="32"/>
    <w:qFormat/>
    <w:rsid w:val="002A0E15"/>
    <w:rPr>
      <w:b/>
      <w:bCs/>
      <w:smallCaps/>
      <w:color w:val="4472C4" w:themeColor="accent1"/>
      <w:spacing w:val="5"/>
    </w:rPr>
  </w:style>
  <w:style w:type="character" w:customStyle="1" w:styleId="Heading3Char">
    <w:name w:val="Heading 3 Char"/>
    <w:basedOn w:val="DefaultParagraphFont"/>
    <w:link w:val="Heading3"/>
    <w:uiPriority w:val="9"/>
    <w:rsid w:val="002A0E1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16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tsb.gov/safety/safety-studies/Documents/SR180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ntsb.gov/safety/safety-studies/Documents/SIR1803.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0C3DC8-1E52-495D-80FC-8E6E5B18CF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EA5FF1-4D13-4D05-ACF5-4E8700ADA080}">
  <ds:schemaRefs>
    <ds:schemaRef ds:uri="http://schemas.microsoft.com/sharepoint/v3/contenttype/forms"/>
  </ds:schemaRefs>
</ds:datastoreItem>
</file>

<file path=customXml/itemProps3.xml><?xml version="1.0" encoding="utf-8"?>
<ds:datastoreItem xmlns:ds="http://schemas.openxmlformats.org/officeDocument/2006/customXml" ds:itemID="{692D8203-7233-4E34-A238-B672DEED632F}">
  <ds:schemaRefs>
    <ds:schemaRef ds:uri="http://schemas.openxmlformats.org/officeDocument/2006/bibliography"/>
  </ds:schemaRefs>
</ds:datastoreItem>
</file>

<file path=customXml/itemProps4.xml><?xml version="1.0" encoding="utf-8"?>
<ds:datastoreItem xmlns:ds="http://schemas.openxmlformats.org/officeDocument/2006/customXml" ds:itemID="{4A02F7E8-D044-4344-9C9C-4E42C3CC6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45b75-3ff2-4095-8524-470728d9e5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1519</Words>
  <Characters>8664</Characters>
  <Application>Microsoft Office Word</Application>
  <DocSecurity>0</DocSecurity>
  <Lines>72</Lines>
  <Paragraphs>20</Paragraphs>
  <ScaleCrop>false</ScaleCrop>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 Stephanie</dc:creator>
  <cp:keywords/>
  <dc:description/>
  <cp:lastModifiedBy>Walton Leah</cp:lastModifiedBy>
  <cp:revision>74</cp:revision>
  <dcterms:created xsi:type="dcterms:W3CDTF">2021-01-04T17:09:00Z</dcterms:created>
  <dcterms:modified xsi:type="dcterms:W3CDTF">2021-11-16T16:32:00Z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